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1B" w:rsidRDefault="007A7A1B" w:rsidP="007A7A1B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Аннотация к русскому языку</w:t>
      </w: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7A7A1B" w:rsidTr="007A7A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</w:t>
            </w:r>
          </w:p>
        </w:tc>
      </w:tr>
      <w:tr w:rsidR="007A7A1B" w:rsidTr="007A7A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обучению грамоте для 1 класса общеобразовательной школы составлена в соответствии с основными положениями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авторской программы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Горецкого, М. Н. Дементьевой, Н.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УМК «Школа России» в соответствии с требованиями ФГОС НОО.</w:t>
            </w:r>
          </w:p>
        </w:tc>
      </w:tr>
      <w:tr w:rsidR="007A7A1B" w:rsidTr="007A7A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7A7A1B" w:rsidTr="007A7A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7A1B" w:rsidTr="007A7A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Составила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7A7A1B" w:rsidTr="007A7A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Изучение русского языка направлено на достижение следующих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целей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  <w:p w:rsidR="007A7A1B" w:rsidRDefault="007A7A1B" w:rsidP="003E4C9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7A7A1B" w:rsidRDefault="007A7A1B" w:rsidP="003E4C99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7A7A1B" w:rsidRDefault="007A7A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определяет ряд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которых обеспечит достижение основных целей изучения предмета:</w:t>
            </w:r>
          </w:p>
          <w:p w:rsidR="007A7A1B" w:rsidRDefault="007A7A1B" w:rsidP="003E4C9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7A7A1B" w:rsidRDefault="007A7A1B" w:rsidP="003E4C9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морфемике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(состав слова), морфологии и синтаксисе;</w:t>
            </w:r>
          </w:p>
          <w:p w:rsidR="007A7A1B" w:rsidRDefault="007A7A1B" w:rsidP="003E4C9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7A7A1B" w:rsidRDefault="007A7A1B" w:rsidP="003E4C99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7A7A1B" w:rsidTr="007A7A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Наша речь.</w:t>
            </w:r>
          </w:p>
          <w:p w:rsidR="007A7A1B" w:rsidRDefault="007A7A1B">
            <w:pPr>
              <w:tabs>
                <w:tab w:val="left" w:pos="56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Текст, Предложение,</w:t>
            </w:r>
          </w:p>
          <w:p w:rsidR="007A7A1B" w:rsidRDefault="007A7A1B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Диалог</w:t>
            </w:r>
          </w:p>
          <w:p w:rsidR="007A7A1B" w:rsidRDefault="007A7A1B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Слова,слова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слова</w:t>
            </w:r>
          </w:p>
          <w:p w:rsidR="007A7A1B" w:rsidRDefault="007A7A1B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Слово,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слог,ударение</w:t>
            </w:r>
            <w:proofErr w:type="spellEnd"/>
          </w:p>
        </w:tc>
      </w:tr>
      <w:tr w:rsidR="007A7A1B" w:rsidTr="007A7A1B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7A1B" w:rsidRDefault="007A7A1B">
            <w:pPr>
              <w:tabs>
                <w:tab w:val="left" w:pos="56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Используемый учебно-методический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УМК):</w:t>
            </w:r>
          </w:p>
          <w:p w:rsidR="007A7A1B" w:rsidRDefault="007A7A1B">
            <w:pPr>
              <w:tabs>
                <w:tab w:val="left" w:pos="5605"/>
              </w:tabs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 класс :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организаций с прил. на электрон. носителе: в 2 ч.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Горецкий. – М. : Просвещение, 2016. Номер УМК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1.1.1.1.4.2</w:t>
            </w:r>
          </w:p>
          <w:p w:rsidR="007A7A1B" w:rsidRDefault="007A7A1B">
            <w:pPr>
              <w:tabs>
                <w:tab w:val="left" w:pos="560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 класс : рабочая тетрадь : пособие для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 : Просвещение, 2016</w:t>
            </w:r>
          </w:p>
          <w:p w:rsidR="007A7A1B" w:rsidRDefault="007A7A1B">
            <w:pPr>
              <w:tabs>
                <w:tab w:val="left" w:pos="5605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 для учителя</w:t>
            </w:r>
          </w:p>
          <w:p w:rsidR="007A7A1B" w:rsidRDefault="007A7A1B">
            <w:pPr>
              <w:pStyle w:val="ParagraphStyl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lang w:eastAsia="en-US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  <w:lang w:eastAsia="en-US"/>
              </w:rPr>
              <w:t>, В. П.</w:t>
            </w:r>
            <w:r>
              <w:rPr>
                <w:rFonts w:ascii="Times New Roman" w:hAnsi="Times New Roman" w:cs="Times New Roman"/>
                <w:lang w:eastAsia="en-US"/>
              </w:rPr>
              <w:t xml:space="preserve"> Русский язык / В. П.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[и др.] // Сборник рабочих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программ «Школа России». 1–4 классы : пособие для учителей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. учреждений / С. 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Анащенкова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sym w:font="Times New Roman" w:char="F05B"/>
            </w:r>
            <w:r>
              <w:rPr>
                <w:rFonts w:ascii="Times New Roman" w:hAnsi="Times New Roman" w:cs="Times New Roman"/>
                <w:lang w:eastAsia="en-US"/>
              </w:rPr>
              <w:t>и др.</w:t>
            </w:r>
            <w:r>
              <w:rPr>
                <w:rFonts w:ascii="Times New Roman" w:hAnsi="Times New Roman" w:cs="Times New Roman"/>
                <w:noProof/>
                <w:lang w:eastAsia="en-US"/>
              </w:rPr>
              <w:sym w:font="Times New Roman" w:char="F05D"/>
            </w:r>
            <w:r>
              <w:rPr>
                <w:rFonts w:ascii="Times New Roman" w:hAnsi="Times New Roman" w:cs="Times New Roman"/>
                <w:lang w:eastAsia="en-US"/>
              </w:rPr>
              <w:t>. – М. : Просвещение, 2011.</w:t>
            </w:r>
          </w:p>
          <w:p w:rsidR="007A7A1B" w:rsidRDefault="007A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В.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Рабочие программы. 1–4 классы. Предметная линия учебников «Школа России» : пособие для учителей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(Федеральный государственный образовательный стандарт) / В.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Г. Горецкий, 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  Просвещение, 2014.</w:t>
            </w:r>
          </w:p>
        </w:tc>
      </w:tr>
    </w:tbl>
    <w:p w:rsidR="007A7A1B" w:rsidRDefault="007A7A1B" w:rsidP="007A7A1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7A1B" w:rsidRDefault="007A7A1B" w:rsidP="007A7A1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7A1B" w:rsidRDefault="007A7A1B" w:rsidP="008A06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A7A1B" w:rsidRDefault="007A7A1B" w:rsidP="008A06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A7A1B" w:rsidRDefault="007A7A1B" w:rsidP="008A06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A7A1B" w:rsidRDefault="007A7A1B" w:rsidP="008A066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7A7A1B" w:rsidSect="00C6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2A2"/>
    <w:multiLevelType w:val="hybridMultilevel"/>
    <w:tmpl w:val="624E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C80321"/>
    <w:multiLevelType w:val="hybridMultilevel"/>
    <w:tmpl w:val="8062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660"/>
    <w:rsid w:val="005B2C51"/>
    <w:rsid w:val="007A7A1B"/>
    <w:rsid w:val="008A0660"/>
    <w:rsid w:val="00C62CCE"/>
    <w:rsid w:val="00EB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6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6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A0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7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2017-10-23T08:56:00Z</dcterms:created>
  <dcterms:modified xsi:type="dcterms:W3CDTF">2017-10-23T09:00:00Z</dcterms:modified>
</cp:coreProperties>
</file>